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Leukocytosis (WBC&gt;11) (odds ratio per 1-SD 1.02 (95% CI 0.86 to 1.22), false discovery rate q 0.830)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0.86 to 1.22)</w:t>
            </w:r>
          </w:p>
        </w:tc>
        <w:tc>
          <w:tcPr>
            <w:tcW w:type="dxa" w:w="1234"/>
          </w:tcPr>
          <w:p>
            <w:r>
              <w:t>0.800</w:t>
            </w:r>
          </w:p>
        </w:tc>
        <w:tc>
          <w:tcPr>
            <w:tcW w:type="dxa" w:w="1234"/>
          </w:tcPr>
          <w:p>
            <w:r>
              <w:t>0.830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100.9</w:t>
            </w:r>
          </w:p>
        </w:tc>
        <w:tc>
          <w:tcPr>
            <w:tcW w:type="dxa" w:w="2160"/>
          </w:tcPr>
          <w:p>
            <w:r>
              <w:t>101.0</w:t>
            </w:r>
          </w:p>
        </w:tc>
        <w:tc>
          <w:tcPr>
            <w:tcW w:type="dxa" w:w="2160"/>
          </w:tcPr>
          <w:p>
            <w:r>
              <w:t>99.7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