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Ever alcohol (past/current) and Leukocytosis (WBC&gt;11)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Ever alcohol (past/current) was inversely associated with Leukocytosis (WBC&gt;11) (odds ratio 0.71 (95% CI 0.50 to 1.00), false discovery rate q 0.064) among 35736 adults aged 20 years or older (a weighted Leukocytosis (WBC&gt;11) prevalence of 1.6 percent, survey-weighted). Confounders: Age, years, Male sex.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 (smoking raises the white-cell count). Adjustment for this exposure: Age, years, Male sex.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Ever alcohol (past/current)</w:t>
            </w:r>
          </w:p>
        </w:tc>
        <w:tc>
          <w:tcPr>
            <w:tcW w:type="dxa" w:w="1234"/>
          </w:tcPr>
          <w:p>
            <w:r>
              <w:t>Leukocytosis (WBC&gt;11)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0.71 (95% CI 0.50 to 1.00)</w:t>
            </w:r>
          </w:p>
        </w:tc>
        <w:tc>
          <w:tcPr>
            <w:tcW w:type="dxa" w:w="1234"/>
          </w:tcPr>
          <w:p>
            <w:r>
              <w:t>0.049</w:t>
            </w:r>
          </w:p>
        </w:tc>
        <w:tc>
          <w:tcPr>
            <w:tcW w:type="dxa" w:w="1234"/>
          </w:tcPr>
          <w:p>
            <w:r>
              <w:t>0.064</w:t>
            </w:r>
          </w:p>
        </w:tc>
        <w:tc>
          <w:tcPr>
            <w:tcW w:type="dxa" w:w="1234"/>
          </w:tcPr>
          <w:p>
            <w:r>
              <w:t>35736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Leukocytosis (WBC&gt;11)</w:t>
            </w:r>
          </w:p>
        </w:tc>
        <w:tc>
          <w:tcPr>
            <w:tcW w:type="dxa" w:w="2160"/>
          </w:tcPr>
          <w:p>
            <w:r>
              <w:t>Leukocytosis (WBC&gt;11)</w:t>
            </w:r>
          </w:p>
        </w:tc>
      </w:tr>
      <w:tr>
        <w:tc>
          <w:tcPr>
            <w:tcW w:type="dxa" w:w="2160"/>
          </w:tcPr>
          <w:p>
            <w:r>
              <w:t>Ever alcohol (past/current) (exposure)</w:t>
            </w:r>
          </w:p>
        </w:tc>
        <w:tc>
          <w:tcPr>
            <w:tcW w:type="dxa" w:w="2160"/>
          </w:tcPr>
          <w:p>
            <w:r>
              <w:t>90.6%</w:t>
            </w:r>
          </w:p>
        </w:tc>
        <w:tc>
          <w:tcPr>
            <w:tcW w:type="dxa" w:w="2160"/>
          </w:tcPr>
          <w:p>
            <w:r>
              <w:t>90.6%</w:t>
            </w:r>
          </w:p>
        </w:tc>
        <w:tc>
          <w:tcPr>
            <w:tcW w:type="dxa" w:w="2160"/>
          </w:tcPr>
          <w:p>
            <w:r>
              <w:t>89.7%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47.2</w:t>
            </w:r>
          </w:p>
        </w:tc>
        <w:tc>
          <w:tcPr>
            <w:tcW w:type="dxa" w:w="2160"/>
          </w:tcPr>
          <w:p>
            <w:r>
              <w:t>47.2</w:t>
            </w:r>
          </w:p>
        </w:tc>
        <w:tc>
          <w:tcPr>
            <w:tcW w:type="dxa" w:w="2160"/>
          </w:tcPr>
          <w:p>
            <w:r>
              <w:t>47.3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50.3%</w:t>
            </w:r>
          </w:p>
        </w:tc>
        <w:tc>
          <w:tcPr>
            <w:tcW w:type="dxa" w:w="2160"/>
          </w:tcPr>
          <w:p>
            <w:r>
              <w:t>50.0%</w:t>
            </w:r>
          </w:p>
        </w:tc>
        <w:tc>
          <w:tcPr>
            <w:tcW w:type="dxa" w:w="2160"/>
          </w:tcPr>
          <w:p>
            <w:r>
              <w:t>66.4%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44.9%</w:t>
            </w:r>
          </w:p>
        </w:tc>
        <w:tc>
          <w:tcPr>
            <w:tcW w:type="dxa" w:w="2160"/>
          </w:tcPr>
          <w:p>
            <w:r>
              <w:t>44.5%</w:t>
            </w:r>
          </w:p>
        </w:tc>
        <w:tc>
          <w:tcPr>
            <w:tcW w:type="dxa" w:w="2160"/>
          </w:tcPr>
          <w:p>
            <w:r>
              <w:t>68.4%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90.6%</w:t>
            </w:r>
          </w:p>
        </w:tc>
        <w:tc>
          <w:tcPr>
            <w:tcW w:type="dxa" w:w="2160"/>
          </w:tcPr>
          <w:p>
            <w:r>
              <w:t>90.6%</w:t>
            </w:r>
          </w:p>
        </w:tc>
        <w:tc>
          <w:tcPr>
            <w:tcW w:type="dxa" w:w="2160"/>
          </w:tcPr>
          <w:p>
            <w:r>
              <w:t>89.7%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  <w:tc>
          <w:tcPr>
            <w:tcW w:type="dxa" w:w="2160"/>
          </w:tcPr>
          <w:p>
            <w:r>
              <w:t>25.1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