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Leukocytosis (WBC&gt;11) (odds ratio per 1-SD 1.03 (95% CI 0.86 to 1.25), false discovery rate q 0.756)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0.86 to 1.25)</w:t>
            </w:r>
          </w:p>
        </w:tc>
        <w:tc>
          <w:tcPr>
            <w:tcW w:type="dxa" w:w="1234"/>
          </w:tcPr>
          <w:p>
            <w:r>
              <w:t>0.718</w:t>
            </w:r>
          </w:p>
        </w:tc>
        <w:tc>
          <w:tcPr>
            <w:tcW w:type="dxa" w:w="1234"/>
          </w:tcPr>
          <w:p>
            <w:r>
              <w:t>0.756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115.3</w:t>
            </w:r>
          </w:p>
        </w:tc>
        <w:tc>
          <w:tcPr>
            <w:tcW w:type="dxa" w:w="2160"/>
          </w:tcPr>
          <w:p>
            <w:r>
              <w:t>117.7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