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Low muscle mass (low ASMI, AWGS cut) and Leukocytosis (WBC&gt;11)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Low muscle mass (low ASMI, AWGS cut) was inversely associated with Leukocytosis (WBC&gt;11) (odds ratio 0.85 (95% CI 0.41 to 1.77), false discovery rate q 0.709) among 35736 adults aged 20 years or older (a weighted Leukocytosis (WBC&gt;11) prevalence of 1.6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Low muscle mass (low ASMI, AWGS cut)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0.85 (95% CI 0.41 to 1.77)</w:t>
            </w:r>
          </w:p>
        </w:tc>
        <w:tc>
          <w:tcPr>
            <w:tcW w:type="dxa" w:w="1234"/>
          </w:tcPr>
          <w:p>
            <w:r>
              <w:t>0.669</w:t>
            </w:r>
          </w:p>
        </w:tc>
        <w:tc>
          <w:tcPr>
            <w:tcW w:type="dxa" w:w="1234"/>
          </w:tcPr>
          <w:p>
            <w:r>
              <w:t>0.709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Low muscle mass (low ASMI, AWGS cut) (exposure)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12.1%</w:t>
            </w:r>
          </w:p>
        </w:tc>
        <w:tc>
          <w:tcPr>
            <w:tcW w:type="dxa" w:w="2160"/>
          </w:tcPr>
          <w:p>
            <w:r>
              <w:t>10.5%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47.3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66.4%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44.5%</w:t>
            </w:r>
          </w:p>
        </w:tc>
        <w:tc>
          <w:tcPr>
            <w:tcW w:type="dxa" w:w="2160"/>
          </w:tcPr>
          <w:p>
            <w:r>
              <w:t>68.4%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89.7%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25.1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