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Leukocytosis (WBC&gt;11)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Lumbar spine BMD, g/cm2 was positively associated with Leukocytosis (WBC&gt;11) (odds ratio per 1-SD 1.02 (95% CI 0.76 to 1.37), false discovery rate q 0.912) among 35736 adults aged 20 years or older (a weighted Leukocytosis (WBC&gt;11) prevalence of 1.6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1.02 (95% CI 0.76 to 1.37)</w:t>
            </w:r>
          </w:p>
        </w:tc>
        <w:tc>
          <w:tcPr>
            <w:tcW w:type="dxa" w:w="1234"/>
          </w:tcPr>
          <w:p>
            <w:r>
              <w:t>0.896</w:t>
            </w:r>
          </w:p>
        </w:tc>
        <w:tc>
          <w:tcPr>
            <w:tcW w:type="dxa" w:w="1234"/>
          </w:tcPr>
          <w:p>
            <w:r>
              <w:t>0.912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Lumbar spine BMD, g/cm2 (exposure)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66.4%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  <w:tc>
          <w:tcPr>
            <w:tcW w:type="dxa" w:w="2160"/>
          </w:tcPr>
          <w:p>
            <w:r>
              <w:t>68.4%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89.7%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