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Leukocytosis (WBC&gt;11) (odds ratio 1.18 (95% CI 0.93 to 1.49), false discovery rate q 0.206)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0.93 to 1.49)</w:t>
            </w:r>
          </w:p>
        </w:tc>
        <w:tc>
          <w:tcPr>
            <w:tcW w:type="dxa" w:w="1234"/>
          </w:tcPr>
          <w:p>
            <w:r>
              <w:t>0.170</w:t>
            </w:r>
          </w:p>
        </w:tc>
        <w:tc>
          <w:tcPr>
            <w:tcW w:type="dxa" w:w="1234"/>
          </w:tcPr>
          <w:p>
            <w:r>
              <w:t>0.206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32.4%</w:t>
            </w:r>
          </w:p>
        </w:tc>
        <w:tc>
          <w:tcPr>
            <w:tcW w:type="dxa" w:w="2160"/>
          </w:tcPr>
          <w:p>
            <w:r>
              <w:t>32.3%</w:t>
            </w:r>
          </w:p>
        </w:tc>
        <w:tc>
          <w:tcPr>
            <w:tcW w:type="dxa" w:w="2160"/>
          </w:tcPr>
          <w:p>
            <w:r>
              <w:t>39.6%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