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Leukocytosis (WBC&gt;11)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Serum 25(OH)D, ng/mL was inversely associated with Leukocytosis (WBC&gt;11) (odds ratio per 1-SD 0.90 (95% CI 0.73 to 1.12), false discovery rate q 0.389) among 35736 adults aged 20 years or older (a weighted Leukocytosis (WBC&gt;11) prevalence of 1.6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0.90 (95% CI 0.73 to 1.12)</w:t>
            </w:r>
          </w:p>
        </w:tc>
        <w:tc>
          <w:tcPr>
            <w:tcW w:type="dxa" w:w="1234"/>
          </w:tcPr>
          <w:p>
            <w:r>
              <w:t>0.340</w:t>
            </w:r>
          </w:p>
        </w:tc>
        <w:tc>
          <w:tcPr>
            <w:tcW w:type="dxa" w:w="1234"/>
          </w:tcPr>
          <w:p>
            <w:r>
              <w:t>0.389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Serum 25(OH)D, ng/mL (exposure)</w:t>
            </w:r>
          </w:p>
        </w:tc>
        <w:tc>
          <w:tcPr>
            <w:tcW w:type="dxa" w:w="2160"/>
          </w:tcPr>
          <w:p>
            <w:r>
              <w:t>17.6</w:t>
            </w:r>
          </w:p>
        </w:tc>
        <w:tc>
          <w:tcPr>
            <w:tcW w:type="dxa" w:w="2160"/>
          </w:tcPr>
          <w:p>
            <w:r>
              <w:t>17.6</w:t>
            </w:r>
          </w:p>
        </w:tc>
        <w:tc>
          <w:tcPr>
            <w:tcW w:type="dxa" w:w="2160"/>
          </w:tcPr>
          <w:p>
            <w:r>
              <w:t>17.5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66.4%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68.4%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89.7%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