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Leukocytosis (WBC&gt;11) (odds ratio per 1-SD 1.06 (95% CI 0.93 to 1.21), false discovery rate q 0.421)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0.93 to 1.21)</w:t>
            </w:r>
          </w:p>
        </w:tc>
        <w:tc>
          <w:tcPr>
            <w:tcW w:type="dxa" w:w="1234"/>
          </w:tcPr>
          <w:p>
            <w:r>
              <w:t>0.371</w:t>
            </w:r>
          </w:p>
        </w:tc>
        <w:tc>
          <w:tcPr>
            <w:tcW w:type="dxa" w:w="1234"/>
          </w:tcPr>
          <w:p>
            <w:r>
              <w:t>0.421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117.7</w:t>
            </w:r>
          </w:p>
        </w:tc>
        <w:tc>
          <w:tcPr>
            <w:tcW w:type="dxa" w:w="2160"/>
          </w:tcPr>
          <w:p>
            <w:r>
              <w:t>117.7</w:t>
            </w:r>
          </w:p>
        </w:tc>
        <w:tc>
          <w:tcPr>
            <w:tcW w:type="dxa" w:w="2160"/>
          </w:tcPr>
          <w:p>
            <w:r>
              <w:t>120.3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