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Vitamin D deficiency (&lt;20 ng/mL) and Leukocytosis (WBC&gt;11)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Vitamin D deficiency (&lt;20 ng/mL) was inversely associated with Leukocytosis (WBC&gt;11) (odds ratio 0.88 (95% CI 0.59 to 1.31), false discovery rate q 0.578) among 35736 adults aged 20 years or older (a weighted Leukocytosis (WBC&gt;11) prevalence of 1.6 percent, 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 (smoking raises the white-cell count).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Vitamin D deficiency (&lt;20 ng/mL)</w:t>
            </w:r>
          </w:p>
        </w:tc>
        <w:tc>
          <w:tcPr>
            <w:tcW w:type="dxa" w:w="1234"/>
          </w:tcPr>
          <w:p>
            <w:r>
              <w:t>Leukocytosis (WBC&gt;11)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0.88 (95% CI 0.59 to 1.31)</w:t>
            </w:r>
          </w:p>
        </w:tc>
        <w:tc>
          <w:tcPr>
            <w:tcW w:type="dxa" w:w="1234"/>
          </w:tcPr>
          <w:p>
            <w:r>
              <w:t>0.531</w:t>
            </w:r>
          </w:p>
        </w:tc>
        <w:tc>
          <w:tcPr>
            <w:tcW w:type="dxa" w:w="1234"/>
          </w:tcPr>
          <w:p>
            <w:r>
              <w:t>0.578</w:t>
            </w:r>
          </w:p>
        </w:tc>
        <w:tc>
          <w:tcPr>
            <w:tcW w:type="dxa" w:w="1234"/>
          </w:tcPr>
          <w:p>
            <w:r>
              <w:t>35736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Leukocytosis (WBC&gt;11)</w:t>
            </w:r>
          </w:p>
        </w:tc>
        <w:tc>
          <w:tcPr>
            <w:tcW w:type="dxa" w:w="2160"/>
          </w:tcPr>
          <w:p>
            <w:r>
              <w:t>Leukocytosis (WBC&gt;11)</w:t>
            </w:r>
          </w:p>
        </w:tc>
      </w:tr>
      <w:tr>
        <w:tc>
          <w:tcPr>
            <w:tcW w:type="dxa" w:w="2160"/>
          </w:tcPr>
          <w:p>
            <w:r>
              <w:t>Vitamin D deficiency (&lt;20 ng/mL) (exposure)</w:t>
            </w:r>
          </w:p>
        </w:tc>
        <w:tc>
          <w:tcPr>
            <w:tcW w:type="dxa" w:w="2160"/>
          </w:tcPr>
          <w:p>
            <w:r>
              <w:t>70.4%</w:t>
            </w:r>
          </w:p>
        </w:tc>
        <w:tc>
          <w:tcPr>
            <w:tcW w:type="dxa" w:w="2160"/>
          </w:tcPr>
          <w:p>
            <w:r>
              <w:t>70.5%</w:t>
            </w:r>
          </w:p>
        </w:tc>
        <w:tc>
          <w:tcPr>
            <w:tcW w:type="dxa" w:w="2160"/>
          </w:tcPr>
          <w:p>
            <w:r>
              <w:t>65.4%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50.3%</w:t>
            </w:r>
          </w:p>
        </w:tc>
        <w:tc>
          <w:tcPr>
            <w:tcW w:type="dxa" w:w="2160"/>
          </w:tcPr>
          <w:p>
            <w:r>
              <w:t>50.0%</w:t>
            </w:r>
          </w:p>
        </w:tc>
        <w:tc>
          <w:tcPr>
            <w:tcW w:type="dxa" w:w="2160"/>
          </w:tcPr>
          <w:p>
            <w:r>
              <w:t>66.4%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44.5%</w:t>
            </w:r>
          </w:p>
        </w:tc>
        <w:tc>
          <w:tcPr>
            <w:tcW w:type="dxa" w:w="2160"/>
          </w:tcPr>
          <w:p>
            <w:r>
              <w:t>68.4%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89.7%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25.1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