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Leukocytosis (WBC&gt;11) (odds ratio per 1-SD 1.17 (95% CI 1.04 to 1.33), false discovery rate q 0.013) among 35736 adults aged 20 years or older (a weighted Leukocytosis (WBC&gt;11) prevalence of 1.6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1.04 to 1.33)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65.3</w:t>
            </w:r>
          </w:p>
        </w:tc>
        <w:tc>
          <w:tcPr>
            <w:tcW w:type="dxa" w:w="2160"/>
          </w:tcPr>
          <w:p>
            <w:r>
              <w:t>65.2</w:t>
            </w:r>
          </w:p>
        </w:tc>
        <w:tc>
          <w:tcPr>
            <w:tcW w:type="dxa" w:w="2160"/>
          </w:tcPr>
          <w:p>
            <w:r>
              <w:t>69.1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