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Low HDL cholesterol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Body mass index, kg/m2 was positively associated with Low HDL cholesterol (odds ratio per 1-SD 1.54 (95% CI 1.50 to 1.59), false discovery rate q &lt;0.001) among 35794 adults aged 20 years or older (a weighted Low HDL cholesterol prevalence of 31.5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1.54 (95% CI 1.50 to 1.59)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Body mass index, kg/m2 (exposure)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45.9</w:t>
            </w:r>
          </w:p>
        </w:tc>
        <w:tc>
          <w:tcPr>
            <w:tcW w:type="dxa" w:w="2160"/>
          </w:tcPr>
          <w:p>
            <w:r>
              <w:t>50.1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39.1%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92.8%</w:t>
            </w:r>
          </w:p>
        </w:tc>
        <w:tc>
          <w:tcPr>
            <w:tcW w:type="dxa" w:w="2160"/>
          </w:tcPr>
          <w:p>
            <w:r>
              <w:t>85.8%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