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Low HDL cholesterol (odds ratio per 1-SD 0.99 (95% CI 0.96 to 1.02), false discovery rate q 0.651)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0.96 to 1.02)</w:t>
            </w:r>
          </w:p>
        </w:tc>
        <w:tc>
          <w:tcPr>
            <w:tcW w:type="dxa" w:w="1234"/>
          </w:tcPr>
          <w:p>
            <w:r>
              <w:t>0.606</w:t>
            </w:r>
          </w:p>
        </w:tc>
        <w:tc>
          <w:tcPr>
            <w:tcW w:type="dxa" w:w="1234"/>
          </w:tcPr>
          <w:p>
            <w:r>
              <w:t>0.651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75.6</w:t>
            </w:r>
          </w:p>
        </w:tc>
        <w:tc>
          <w:tcPr>
            <w:tcW w:type="dxa" w:w="2160"/>
          </w:tcPr>
          <w:p>
            <w:r>
              <w:t>76.0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