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positively associated with Low HDL cholesterol (odds ratio 1.14 (95% CI 1.00 to 1.31), false discovery rate q 0.062) among 35794 adults aged 20 years or older (a weighted Low HDL cholesterol prevalence of 31.5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1.14 (95% CI 1.00 to 1.31)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  <w:tc>
          <w:tcPr>
            <w:tcW w:type="dxa" w:w="1234"/>
          </w:tcPr>
          <w:p>
            <w:r>
              <w:t>0.062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4.7%</w:t>
            </w:r>
          </w:p>
        </w:tc>
        <w:tc>
          <w:tcPr>
            <w:tcW w:type="dxa" w:w="2160"/>
          </w:tcPr>
          <w:p>
            <w:r>
              <w:t>4.3%</w:t>
            </w:r>
          </w:p>
        </w:tc>
        <w:tc>
          <w:tcPr>
            <w:tcW w:type="dxa" w:w="2160"/>
          </w:tcPr>
          <w:p>
            <w:r>
              <w:t>5.6%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