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Low HDL cholesterol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positively associated with Low HDL cholesterol (odds ratio 1.04 (95% CI 0.96 to 1.13), false discovery rate q 0.350) among 35794 adults aged 20 years or older (a weighted Low HDL cholesterol prevalence of 31.5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0.96 to 1.13)</w:t>
            </w:r>
          </w:p>
        </w:tc>
        <w:tc>
          <w:tcPr>
            <w:tcW w:type="dxa" w:w="1234"/>
          </w:tcPr>
          <w:p>
            <w:r>
              <w:t>0.302</w:t>
            </w:r>
          </w:p>
        </w:tc>
        <w:tc>
          <w:tcPr>
            <w:tcW w:type="dxa" w:w="1234"/>
          </w:tcPr>
          <w:p>
            <w:r>
              <w:t>0.350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45.9</w:t>
            </w:r>
          </w:p>
        </w:tc>
        <w:tc>
          <w:tcPr>
            <w:tcW w:type="dxa" w:w="2160"/>
          </w:tcPr>
          <w:p>
            <w:r>
              <w:t>50.1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39.1%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92.8%</w:t>
            </w:r>
          </w:p>
        </w:tc>
        <w:tc>
          <w:tcPr>
            <w:tcW w:type="dxa" w:w="2160"/>
          </w:tcPr>
          <w:p>
            <w:r>
              <w:t>85.8%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