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Hypertension and Low HDL cholesterol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Hypertension was positively associated with Low HDL cholesterol (odds ratio 1.02 (95% CI 0.95 to 1.09), false discovery rate q 0.656) among 35794 adults aged 20 years or older (a weighted Low HDL cholesterol prevalence of 31.5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Low HDL cholesterol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1.02 (95% CI 0.95 to 1.09)</w:t>
            </w:r>
          </w:p>
        </w:tc>
        <w:tc>
          <w:tcPr>
            <w:tcW w:type="dxa" w:w="1234"/>
          </w:tcPr>
          <w:p>
            <w:r>
              <w:t>0.612</w:t>
            </w:r>
          </w:p>
        </w:tc>
        <w:tc>
          <w:tcPr>
            <w:tcW w:type="dxa" w:w="1234"/>
          </w:tcPr>
          <w:p>
            <w:r>
              <w:t>0.656</w:t>
            </w:r>
          </w:p>
        </w:tc>
        <w:tc>
          <w:tcPr>
            <w:tcW w:type="dxa" w:w="1234"/>
          </w:tcPr>
          <w:p>
            <w:r>
              <w:t>35794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Low HDL cholesterol</w:t>
            </w:r>
          </w:p>
        </w:tc>
        <w:tc>
          <w:tcPr>
            <w:tcW w:type="dxa" w:w="2160"/>
          </w:tcPr>
          <w:p>
            <w:r>
              <w:t>Low HDL cholesterol</w:t>
            </w:r>
          </w:p>
        </w:tc>
      </w:tr>
      <w:tr>
        <w:tc>
          <w:tcPr>
            <w:tcW w:type="dxa" w:w="2160"/>
          </w:tcPr>
          <w:p>
            <w:r>
              <w:t>Hypertension (exposure)</w:t>
            </w:r>
          </w:p>
        </w:tc>
        <w:tc>
          <w:tcPr>
            <w:tcW w:type="dxa" w:w="2160"/>
          </w:tcPr>
          <w:p>
            <w:r>
              <w:t>26.9%</w:t>
            </w:r>
          </w:p>
        </w:tc>
        <w:tc>
          <w:tcPr>
            <w:tcW w:type="dxa" w:w="2160"/>
          </w:tcPr>
          <w:p>
            <w:r>
              <w:t>24.4%</w:t>
            </w:r>
          </w:p>
        </w:tc>
        <w:tc>
          <w:tcPr>
            <w:tcW w:type="dxa" w:w="2160"/>
          </w:tcPr>
          <w:p>
            <w:r>
              <w:t>32.3%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45.9</w:t>
            </w:r>
          </w:p>
        </w:tc>
        <w:tc>
          <w:tcPr>
            <w:tcW w:type="dxa" w:w="2160"/>
          </w:tcPr>
          <w:p>
            <w:r>
              <w:t>50.1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54.7%</w:t>
            </w:r>
          </w:p>
        </w:tc>
        <w:tc>
          <w:tcPr>
            <w:tcW w:type="dxa" w:w="2160"/>
          </w:tcPr>
          <w:p>
            <w:r>
              <w:t>40.5%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23.5</w:t>
            </w:r>
          </w:p>
        </w:tc>
        <w:tc>
          <w:tcPr>
            <w:tcW w:type="dxa" w:w="2160"/>
          </w:tcPr>
          <w:p>
            <w:r>
              <w:t>24.9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47.5%</w:t>
            </w:r>
          </w:p>
        </w:tc>
        <w:tc>
          <w:tcPr>
            <w:tcW w:type="dxa" w:w="2160"/>
          </w:tcPr>
          <w:p>
            <w:r>
              <w:t>39.1%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92.8%</w:t>
            </w:r>
          </w:p>
        </w:tc>
        <w:tc>
          <w:tcPr>
            <w:tcW w:type="dxa" w:w="2160"/>
          </w:tcPr>
          <w:p>
            <w:r>
              <w:t>85.8%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