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Low HDL cholesterol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positively associated with Low HDL cholesterol (odds ratio 3.76 (95% CI 3.51 to 4.02), false discovery rate q &lt;0.001) among 35794 adults aged 20 years or older (a weighted Low HDL cholesterol prevalence of 31.5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3.76 (95% CI 3.51 to 4.02)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Hypertriglyceridemia (NCEP TG&gt;=150) (exposure)</w:t>
            </w:r>
          </w:p>
        </w:tc>
        <w:tc>
          <w:tcPr>
            <w:tcW w:type="dxa" w:w="2160"/>
          </w:tcPr>
          <w:p>
            <w:r>
              <w:t>29.5%</w:t>
            </w:r>
          </w:p>
        </w:tc>
        <w:tc>
          <w:tcPr>
            <w:tcW w:type="dxa" w:w="2160"/>
          </w:tcPr>
          <w:p>
            <w:r>
              <w:t>21.2%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45.9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92.8%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