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Low HDL cholesterol (odds ratio 1.11 (95% CI 0.91 to 1.36), false discovery rate q 0.355)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0.91 to 1.36)</w:t>
            </w:r>
          </w:p>
        </w:tc>
        <w:tc>
          <w:tcPr>
            <w:tcW w:type="dxa" w:w="1234"/>
          </w:tcPr>
          <w:p>
            <w:r>
              <w:t>0.307</w:t>
            </w:r>
          </w:p>
        </w:tc>
        <w:tc>
          <w:tcPr>
            <w:tcW w:type="dxa" w:w="1234"/>
          </w:tcPr>
          <w:p>
            <w:r>
              <w:t>0.355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25.4%</w:t>
            </w:r>
          </w:p>
        </w:tc>
        <w:tc>
          <w:tcPr>
            <w:tcW w:type="dxa" w:w="2160"/>
          </w:tcPr>
          <w:p>
            <w:r>
              <w:t>34.7%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