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Low HDL cholesterol (odds ratio per 1-SD 1.02 (95% CI 0.99 to 1.05), false discovery rate q 0.237)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0.99 to 1.05)</w:t>
            </w:r>
          </w:p>
        </w:tc>
        <w:tc>
          <w:tcPr>
            <w:tcW w:type="dxa" w:w="1234"/>
          </w:tcPr>
          <w:p>
            <w:r>
              <w:t>0.198</w:t>
            </w:r>
          </w:p>
        </w:tc>
        <w:tc>
          <w:tcPr>
            <w:tcW w:type="dxa" w:w="1234"/>
          </w:tcPr>
          <w:p>
            <w:r>
              <w:t>0.237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258.1</w:t>
            </w:r>
          </w:p>
        </w:tc>
        <w:tc>
          <w:tcPr>
            <w:tcW w:type="dxa" w:w="2160"/>
          </w:tcPr>
          <w:p>
            <w:r>
              <w:t>257.1</w:t>
            </w:r>
          </w:p>
        </w:tc>
        <w:tc>
          <w:tcPr>
            <w:tcW w:type="dxa" w:w="2160"/>
          </w:tcPr>
          <w:p>
            <w:r>
              <w:t>260.4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