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Weight, kg was positively associated with Low HDL cholesterol (odds ratio per 1-SD 1.55 (95% CI 1.50 to 1.60), false discovery rate q &lt;0.001) among 35794 adults aged 20 years or older (a weighted Low HDL cholesterol prevalence of 31.5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1.55 (95% CI 1.50 to 1.60)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Weight, kg (exposure)</w:t>
            </w:r>
          </w:p>
        </w:tc>
        <w:tc>
          <w:tcPr>
            <w:tcW w:type="dxa" w:w="2160"/>
          </w:tcPr>
          <w:p>
            <w:r>
              <w:t>65.3</w:t>
            </w:r>
          </w:p>
        </w:tc>
        <w:tc>
          <w:tcPr>
            <w:tcW w:type="dxa" w:w="2160"/>
          </w:tcPr>
          <w:p>
            <w:r>
              <w:t>64.8</w:t>
            </w:r>
          </w:p>
        </w:tc>
        <w:tc>
          <w:tcPr>
            <w:tcW w:type="dxa" w:w="2160"/>
          </w:tcPr>
          <w:p>
            <w:r>
              <w:t>66.3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