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positively associated with Low muscle mass (low ASMI, AWGS cut) (odds ratio per 1-SD 1.01 (95% CI 0.91 to 1.11), false discovery rate q 0.916) among 6576 adults aged 20 years or older (a weighted Low muscle mass (low ASMI, AWGS cut) prevalence of 12.2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1.01 (95% CI 0.91 to 1.11)</w:t>
            </w:r>
          </w:p>
        </w:tc>
        <w:tc>
          <w:tcPr>
            <w:tcW w:type="dxa" w:w="1234"/>
          </w:tcPr>
          <w:p>
            <w:r>
              <w:t>0.901</w:t>
            </w:r>
          </w:p>
        </w:tc>
        <w:tc>
          <w:tcPr>
            <w:tcW w:type="dxa" w:w="1234"/>
          </w:tcPr>
          <w:p>
            <w:r>
              <w:t>0.916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