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Alanine aminotransferase, IU/L and Low muscle mass (low ASMI, AWGS cut)</w:t>
      </w:r>
    </w:p>
    <w:p>
      <w:r>
        <w:t>KNHANES · Korea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Korea National Health and Nutrition Examination Survey, Alanine aminotransferase, IU/L was positively associated with Low muscle mass (low ASMI, AWGS cut) (odds ratio per 1-SD 1.22 (95% CI 1.07 to 1.39), false discovery rate q 0.006) among 6576 adults aged 20 years or older (a weighted Low muscle mass (low ASMI, AWGS cut) prevalence of 12.2 percent, survey-weighted). Confounders: Age, years, Male sex, Body mass index, kg/m2,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smoking and alcohol. Appendicular muscle measures are the outcome family and are not used for adjustment. Adjustment for this exposure: Age, years, Male sex, Body mass index, kg/m2,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Alanine aminotransferase, IU/L</w:t>
            </w:r>
          </w:p>
        </w:tc>
        <w:tc>
          <w:tcPr>
            <w:tcW w:type="dxa" w:w="1234"/>
          </w:tcPr>
          <w:p>
            <w:r>
              <w:t>Low muscle mass (low ASMI, AWGS cut)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1.22 (95% CI 1.07 to 1.39)</w:t>
            </w:r>
          </w:p>
        </w:tc>
        <w:tc>
          <w:tcPr>
            <w:tcW w:type="dxa" w:w="1234"/>
          </w:tcPr>
          <w:p>
            <w:r>
              <w:t>0.004</w:t>
            </w:r>
          </w:p>
        </w:tc>
        <w:tc>
          <w:tcPr>
            <w:tcW w:type="dxa" w:w="1234"/>
          </w:tcPr>
          <w:p>
            <w:r>
              <w:t>0.006</w:t>
            </w:r>
          </w:p>
        </w:tc>
        <w:tc>
          <w:tcPr>
            <w:tcW w:type="dxa" w:w="1234"/>
          </w:tcPr>
          <w:p>
            <w:r>
              <w:t>6576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Low muscle mass (low ASMI, AWGS cut)</w:t>
            </w:r>
          </w:p>
        </w:tc>
        <w:tc>
          <w:tcPr>
            <w:tcW w:type="dxa" w:w="2160"/>
          </w:tcPr>
          <w:p>
            <w:r>
              <w:t>Low muscle mass (low ASMI, AWGS cut)</w:t>
            </w:r>
          </w:p>
        </w:tc>
      </w:tr>
      <w:tr>
        <w:tc>
          <w:tcPr>
            <w:tcW w:type="dxa" w:w="2160"/>
          </w:tcPr>
          <w:p>
            <w:r>
              <w:t>Alanine aminotransferase, IU/L (exposure)</w:t>
            </w:r>
          </w:p>
        </w:tc>
        <w:tc>
          <w:tcPr>
            <w:tcW w:type="dxa" w:w="2160"/>
          </w:tcPr>
          <w:p>
            <w:r>
              <w:t>22.5</w:t>
            </w:r>
          </w:p>
        </w:tc>
        <w:tc>
          <w:tcPr>
            <w:tcW w:type="dxa" w:w="2160"/>
          </w:tcPr>
          <w:p>
            <w:r>
              <w:t>23.1</w:t>
            </w:r>
          </w:p>
        </w:tc>
        <w:tc>
          <w:tcPr>
            <w:tcW w:type="dxa" w:w="2160"/>
          </w:tcPr>
          <w:p>
            <w:r>
              <w:t>18.3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45.6</w:t>
            </w:r>
          </w:p>
        </w:tc>
        <w:tc>
          <w:tcPr>
            <w:tcW w:type="dxa" w:w="2160"/>
          </w:tcPr>
          <w:p>
            <w:r>
              <w:t>45.6</w:t>
            </w:r>
          </w:p>
        </w:tc>
        <w:tc>
          <w:tcPr>
            <w:tcW w:type="dxa" w:w="2160"/>
          </w:tcPr>
          <w:p>
            <w:r>
              <w:t>45.7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49.1%</w:t>
            </w:r>
          </w:p>
        </w:tc>
        <w:tc>
          <w:tcPr>
            <w:tcW w:type="dxa" w:w="2160"/>
          </w:tcPr>
          <w:p>
            <w:r>
              <w:t>49.8%</w:t>
            </w:r>
          </w:p>
        </w:tc>
        <w:tc>
          <w:tcPr>
            <w:tcW w:type="dxa" w:w="2160"/>
          </w:tcPr>
          <w:p>
            <w:r>
              <w:t>44.1%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23.7</w:t>
            </w:r>
          </w:p>
        </w:tc>
        <w:tc>
          <w:tcPr>
            <w:tcW w:type="dxa" w:w="2160"/>
          </w:tcPr>
          <w:p>
            <w:r>
              <w:t>24.2</w:t>
            </w:r>
          </w:p>
        </w:tc>
        <w:tc>
          <w:tcPr>
            <w:tcW w:type="dxa" w:w="2160"/>
          </w:tcPr>
          <w:p>
            <w:r>
              <w:t>19.9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46.5%</w:t>
            </w:r>
          </w:p>
        </w:tc>
        <w:tc>
          <w:tcPr>
            <w:tcW w:type="dxa" w:w="2160"/>
          </w:tcPr>
          <w:p>
            <w:r>
              <w:t>46.7%</w:t>
            </w:r>
          </w:p>
        </w:tc>
        <w:tc>
          <w:tcPr>
            <w:tcW w:type="dxa" w:w="2160"/>
          </w:tcPr>
          <w:p>
            <w:r>
              <w:t>45.1%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88.5%</w:t>
            </w:r>
          </w:p>
        </w:tc>
        <w:tc>
          <w:tcPr>
            <w:tcW w:type="dxa" w:w="2160"/>
          </w:tcPr>
          <w:p>
            <w:r>
              <w:t>88.6%</w:t>
            </w:r>
          </w:p>
        </w:tc>
        <w:tc>
          <w:tcPr>
            <w:tcW w:type="dxa" w:w="2160"/>
          </w:tcPr>
          <w:p>
            <w:r>
              <w:t>88.0%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