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Low muscle mass (low ASMI, AWGS cut) (odds ratio per 1-SD 1.11 (95% CI 1.01 to 1.23), false discovery rate q 0.051)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1.01 to 1.23)</w:t>
            </w:r>
          </w:p>
        </w:tc>
        <w:tc>
          <w:tcPr>
            <w:tcW w:type="dxa" w:w="1234"/>
          </w:tcPr>
          <w:p>
            <w:r>
              <w:t>0.038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22.4</w:t>
            </w:r>
          </w:p>
        </w:tc>
        <w:tc>
          <w:tcPr>
            <w:tcW w:type="dxa" w:w="2160"/>
          </w:tcPr>
          <w:p>
            <w:r>
              <w:t>22.4</w:t>
            </w:r>
          </w:p>
        </w:tc>
        <w:tc>
          <w:tcPr>
            <w:tcW w:type="dxa" w:w="2160"/>
          </w:tcPr>
          <w:p>
            <w:r>
              <w:t>21.8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