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Atherogenic dyslipidemia (high TG + low HDL) and Low muscle mass (low ASMI, AWGS cut)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Atherogenic dyslipidemia (high TG + low HDL) was positively associated with Low muscle mass (low ASMI, AWGS cut) (odds ratio 1.18 (95% CI 0.81 to 1.70), false discovery rate q 0.442) among 6576 adults aged 20 years or older (a weighted Low muscle mass (low ASMI, AWGS cut) prevalence of 12.2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Appendicular muscle measures are the outcome family and are not used for adjustment.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1.18 (95% CI 0.81 to 1.70)</w:t>
            </w:r>
          </w:p>
        </w:tc>
        <w:tc>
          <w:tcPr>
            <w:tcW w:type="dxa" w:w="1234"/>
          </w:tcPr>
          <w:p>
            <w:r>
              <w:t>0.391</w:t>
            </w:r>
          </w:p>
        </w:tc>
        <w:tc>
          <w:tcPr>
            <w:tcW w:type="dxa" w:w="1234"/>
          </w:tcPr>
          <w:p>
            <w:r>
              <w:t>0.442</w:t>
            </w:r>
          </w:p>
        </w:tc>
        <w:tc>
          <w:tcPr>
            <w:tcW w:type="dxa" w:w="1234"/>
          </w:tcPr>
          <w:p>
            <w:r>
              <w:t>6576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muscle mass (low ASMI, AWGS cut)</w:t>
            </w:r>
          </w:p>
        </w:tc>
        <w:tc>
          <w:tcPr>
            <w:tcW w:type="dxa" w:w="2160"/>
          </w:tcPr>
          <w:p>
            <w:r>
              <w:t>Low muscle mass (low ASMI, AWGS cut)</w:t>
            </w:r>
          </w:p>
        </w:tc>
      </w:tr>
      <w:tr>
        <w:tc>
          <w:tcPr>
            <w:tcW w:type="dxa" w:w="2160"/>
          </w:tcPr>
          <w:p>
            <w:r>
              <w:t>Atherogenic dyslipidemia (high TG + low HDL) (exposure)</w:t>
            </w:r>
          </w:p>
        </w:tc>
        <w:tc>
          <w:tcPr>
            <w:tcW w:type="dxa" w:w="2160"/>
          </w:tcPr>
          <w:p>
            <w:r>
              <w:t>18.2%</w:t>
            </w:r>
          </w:p>
        </w:tc>
        <w:tc>
          <w:tcPr>
            <w:tcW w:type="dxa" w:w="2160"/>
          </w:tcPr>
          <w:p>
            <w:r>
              <w:t>19.5%</w:t>
            </w:r>
          </w:p>
        </w:tc>
        <w:tc>
          <w:tcPr>
            <w:tcW w:type="dxa" w:w="2160"/>
          </w:tcPr>
          <w:p>
            <w:r>
              <w:t>9.0%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45.7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24.2</w:t>
            </w:r>
          </w:p>
        </w:tc>
        <w:tc>
          <w:tcPr>
            <w:tcW w:type="dxa" w:w="2160"/>
          </w:tcPr>
          <w:p>
            <w:r>
              <w:t>19.9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88.5%</w:t>
            </w:r>
          </w:p>
        </w:tc>
        <w:tc>
          <w:tcPr>
            <w:tcW w:type="dxa" w:w="2160"/>
          </w:tcPr>
          <w:p>
            <w:r>
              <w:t>88.6%</w:t>
            </w:r>
          </w:p>
        </w:tc>
        <w:tc>
          <w:tcPr>
            <w:tcW w:type="dxa" w:w="2160"/>
          </w:tcPr>
          <w:p>
            <w:r>
              <w:t>88.0%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