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Low muscle mass (low ASMI, AWGS cut) (odds ratio 1.35 (95% CI 0.59 to 3.10), false discovery rate q 0.533)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0.59 to 3.10)</w:t>
            </w:r>
          </w:p>
        </w:tc>
        <w:tc>
          <w:tcPr>
            <w:tcW w:type="dxa" w:w="1234"/>
          </w:tcPr>
          <w:p>
            <w:r>
              <w:t>0.485</w:t>
            </w:r>
          </w:p>
        </w:tc>
        <w:tc>
          <w:tcPr>
            <w:tcW w:type="dxa" w:w="1234"/>
          </w:tcPr>
          <w:p>
            <w:r>
              <w:t>0.533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