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Low muscle mass (low ASMI, AWGS cut) (odds ratio per 1-SD 1.05 (95% CI 0.93 to 1.19), false discovery rate q 0.448)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0.93 to 1.19)</w:t>
            </w:r>
          </w:p>
        </w:tc>
        <w:tc>
          <w:tcPr>
            <w:tcW w:type="dxa" w:w="1234"/>
          </w:tcPr>
          <w:p>
            <w:r>
              <w:t>0.397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77.0</w:t>
            </w:r>
          </w:p>
        </w:tc>
        <w:tc>
          <w:tcPr>
            <w:tcW w:type="dxa" w:w="2160"/>
          </w:tcPr>
          <w:p>
            <w:r>
              <w:t>77.5</w:t>
            </w:r>
          </w:p>
        </w:tc>
        <w:tc>
          <w:tcPr>
            <w:tcW w:type="dxa" w:w="2160"/>
          </w:tcPr>
          <w:p>
            <w:r>
              <w:t>74.0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