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Low muscle mass (low ASMI, AWGS cut) (odds ratio 1.02 (95% CI 0.79 to 1.33), false discovery rate q 0.889) among 6576 adults aged 20 years or older (a weighted Low muscle mass (low ASMI, AWGS cut) prevalence of 12.2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0.79 to 1.33)</w:t>
            </w:r>
          </w:p>
        </w:tc>
        <w:tc>
          <w:tcPr>
            <w:tcW w:type="dxa" w:w="1234"/>
          </w:tcPr>
          <w:p>
            <w:r>
              <w:t>0.869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