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Low muscle mass (low ASMI, AWGS cut) (odds ratio 1.20 (95% CI 0.94 to 1.53), false discovery rate q 0.185) among 6576 adults aged 20 years or older (a weighted Low muscle mass (low ASMI, AWGS cut) prevalence of 12.2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0.94 to 1.53)</w:t>
            </w:r>
          </w:p>
        </w:tc>
        <w:tc>
          <w:tcPr>
            <w:tcW w:type="dxa" w:w="1234"/>
          </w:tcPr>
          <w:p>
            <w:r>
              <w:t>0.151</w:t>
            </w:r>
          </w:p>
        </w:tc>
        <w:tc>
          <w:tcPr>
            <w:tcW w:type="dxa" w:w="1234"/>
          </w:tcPr>
          <w:p>
            <w:r>
              <w:t>0.185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