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Low muscle mass (low ASMI, AWGS cut) (odds ratio per 1-SD 0.96 (95% CI 0.85 to 1.09), false discovery rate q 0.596)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0.85 to 1.09)</w:t>
            </w:r>
          </w:p>
        </w:tc>
        <w:tc>
          <w:tcPr>
            <w:tcW w:type="dxa" w:w="1234"/>
          </w:tcPr>
          <w:p>
            <w:r>
              <w:t>0.548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