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Femoral neck BMD, g/cm2 and Low muscle mass (low ASMI, AWGS cut)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Femoral neck BMD, g/cm2 was inversely associated with Low muscle mass (low ASMI, AWGS cut) (odds ratio per 1-SD 0.58 (95% CI 0.49 to 0.69), false discovery rate q &lt;0.001) among 6576 adults aged 20 years or older (a weighted Low muscle mass (low ASMI, AWGS cut) prevalence of 12.2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Appendicular muscle measures are the outcome family and are not used for adjustment.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Low muscle mass (low ASMI, AWGS cut)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0.58 (95% CI 0.49 to 0.69)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Low muscle mass (low ASMI, AWGS cut)</w:t>
            </w:r>
          </w:p>
        </w:tc>
        <w:tc>
          <w:tcPr>
            <w:tcW w:type="dxa" w:w="2160"/>
          </w:tcPr>
          <w:p>
            <w:r>
              <w:t>Low muscle mass (low ASMI, AWGS cut)</w:t>
            </w:r>
          </w:p>
        </w:tc>
      </w:tr>
      <w:tr>
        <w:tc>
          <w:tcPr>
            <w:tcW w:type="dxa" w:w="2160"/>
          </w:tcPr>
          <w:p>
            <w:r>
              <w:t>Femoral neck BMD, g/cm2 (exposure)</w:t>
            </w:r>
          </w:p>
        </w:tc>
        <w:tc>
          <w:tcPr>
            <w:tcW w:type="dxa" w:w="2160"/>
          </w:tcPr>
          <w:p>
            <w:r>
              <w:t>0.8</w:t>
            </w:r>
          </w:p>
        </w:tc>
        <w:tc>
          <w:tcPr>
            <w:tcW w:type="dxa" w:w="2160"/>
          </w:tcPr>
          <w:p>
            <w:r>
              <w:t>0.8</w:t>
            </w:r>
          </w:p>
        </w:tc>
        <w:tc>
          <w:tcPr>
            <w:tcW w:type="dxa" w:w="2160"/>
          </w:tcPr>
          <w:p>
            <w:r>
              <w:t>0.7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45.7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49.1%</w:t>
            </w:r>
          </w:p>
        </w:tc>
        <w:tc>
          <w:tcPr>
            <w:tcW w:type="dxa" w:w="2160"/>
          </w:tcPr>
          <w:p>
            <w:r>
              <w:t>49.8%</w:t>
            </w:r>
          </w:p>
        </w:tc>
        <w:tc>
          <w:tcPr>
            <w:tcW w:type="dxa" w:w="2160"/>
          </w:tcPr>
          <w:p>
            <w:r>
              <w:t>44.1%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  <w:tc>
          <w:tcPr>
            <w:tcW w:type="dxa" w:w="2160"/>
          </w:tcPr>
          <w:p>
            <w:r>
              <w:t>24.2</w:t>
            </w:r>
          </w:p>
        </w:tc>
        <w:tc>
          <w:tcPr>
            <w:tcW w:type="dxa" w:w="2160"/>
          </w:tcPr>
          <w:p>
            <w:r>
              <w:t>19.9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  <w:tc>
          <w:tcPr>
            <w:tcW w:type="dxa" w:w="2160"/>
          </w:tcPr>
          <w:p>
            <w:r>
              <w:t>46.7%</w:t>
            </w:r>
          </w:p>
        </w:tc>
        <w:tc>
          <w:tcPr>
            <w:tcW w:type="dxa" w:w="2160"/>
          </w:tcPr>
          <w:p>
            <w:r>
              <w:t>45.1%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88.5%</w:t>
            </w:r>
          </w:p>
        </w:tc>
        <w:tc>
          <w:tcPr>
            <w:tcW w:type="dxa" w:w="2160"/>
          </w:tcPr>
          <w:p>
            <w:r>
              <w:t>88.6%</w:t>
            </w:r>
          </w:p>
        </w:tc>
        <w:tc>
          <w:tcPr>
            <w:tcW w:type="dxa" w:w="2160"/>
          </w:tcPr>
          <w:p>
            <w:r>
              <w:t>88.0%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