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Hemoglobin, g/dL was inversely associated with Low muscle mass (low ASMI, AWGS cut) (odds ratio per 1-SD 0.99 (95% CI 0.85 to 1.16), false discovery rate q 0.926)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0.99 (95% CI 0.85 to 1.16)</w:t>
            </w:r>
          </w:p>
        </w:tc>
        <w:tc>
          <w:tcPr>
            <w:tcW w:type="dxa" w:w="1234"/>
          </w:tcPr>
          <w:p>
            <w:r>
              <w:t>0.914</w:t>
            </w:r>
          </w:p>
        </w:tc>
        <w:tc>
          <w:tcPr>
            <w:tcW w:type="dxa" w:w="1234"/>
          </w:tcPr>
          <w:p>
            <w:r>
              <w:t>0.926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14.1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13.7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