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Low muscle mass (low ASMI, AWGS cut) (odds ratio per 1-SD 1.15 (95% CI 0.93 to 1.42), false discovery rate q 0.230)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0.93 to 1.42)</w:t>
            </w:r>
          </w:p>
        </w:tc>
        <w:tc>
          <w:tcPr>
            <w:tcW w:type="dxa" w:w="1234"/>
          </w:tcPr>
          <w:p>
            <w:r>
              <w:t>0.191</w:t>
            </w:r>
          </w:p>
        </w:tc>
        <w:tc>
          <w:tcPr>
            <w:tcW w:type="dxa" w:w="1234"/>
          </w:tcPr>
          <w:p>
            <w:r>
              <w:t>0.230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112.0</w:t>
            </w:r>
          </w:p>
        </w:tc>
        <w:tc>
          <w:tcPr>
            <w:tcW w:type="dxa" w:w="2160"/>
          </w:tcPr>
          <w:p>
            <w:r>
              <w:t>113.0</w:t>
            </w:r>
          </w:p>
        </w:tc>
        <w:tc>
          <w:tcPr>
            <w:tcW w:type="dxa" w:w="2160"/>
          </w:tcPr>
          <w:p>
            <w:r>
              <w:t>104.9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