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Low muscle mass (low ASMI, AWGS cut) (odds ratio 1.59 (95% CI 0.74 to 3.46), false discovery rate q 0.280)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0.74 to 3.46)</w:t>
            </w:r>
          </w:p>
        </w:tc>
        <w:tc>
          <w:tcPr>
            <w:tcW w:type="dxa" w:w="1234"/>
          </w:tcPr>
          <w:p>
            <w:r>
              <w:t>0.238</w:t>
            </w:r>
          </w:p>
        </w:tc>
        <w:tc>
          <w:tcPr>
            <w:tcW w:type="dxa" w:w="1234"/>
          </w:tcPr>
          <w:p>
            <w:r>
              <w:t>0.280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