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Low muscle mass (low ASMI, AWGS cut) (odds ratio 1.19 (95% CI 0.91 to 1.56), false discovery rate q 0.253)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0.91 to 1.56)</w:t>
            </w:r>
          </w:p>
        </w:tc>
        <w:tc>
          <w:tcPr>
            <w:tcW w:type="dxa" w:w="1234"/>
          </w:tcPr>
          <w:p>
            <w:r>
              <w:t>0.213</w:t>
            </w:r>
          </w:p>
        </w:tc>
        <w:tc>
          <w:tcPr>
            <w:tcW w:type="dxa" w:w="1234"/>
          </w:tcPr>
          <w:p>
            <w:r>
              <w:t>0.253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