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Low muscle mass (low ASMI, AWGS cut) (odds ratio 0.79 (95% CI 0.66 to 0.95), false discovery rate q 0.018) among 6576 adults aged 20 years or older (a weighted Low muscle mass (low ASMI, AWGS cut) prevalence of 12.2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0.66 to 0.95)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