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Metabolic syndrome and Low muscle mass (low ASMI, AWGS cut)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Metabolic syndrome was positively associated with Low muscle mass (low ASMI, AWGS cut) (odds ratio 2.01 (95% CI 1.43 to 2.83), false discovery rate q &lt;0.001) among 6576 adults aged 20 years or older (a weighted Low muscle mass (low ASMI, AWGS cut) prevalence of 12.2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2.01 (95% CI 1.43 to 2.83)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Metabolic syndrome (exposure)</w:t>
            </w:r>
          </w:p>
        </w:tc>
        <w:tc>
          <w:tcPr>
            <w:tcW w:type="dxa" w:w="2160"/>
          </w:tcPr>
          <w:p>
            <w:r>
              <w:t>26.2%</w:t>
            </w:r>
          </w:p>
        </w:tc>
        <w:tc>
          <w:tcPr>
            <w:tcW w:type="dxa" w:w="2160"/>
          </w:tcPr>
          <w:p>
            <w:r>
              <w:t>28.1%</w:t>
            </w:r>
          </w:p>
        </w:tc>
        <w:tc>
          <w:tcPr>
            <w:tcW w:type="dxa" w:w="2160"/>
          </w:tcPr>
          <w:p>
            <w:r>
              <w:t>12.8%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45.7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24.2</w:t>
            </w:r>
          </w:p>
        </w:tc>
        <w:tc>
          <w:tcPr>
            <w:tcW w:type="dxa" w:w="2160"/>
          </w:tcPr>
          <w:p>
            <w:r>
              <w:t>19.9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88.6%</w:t>
            </w:r>
          </w:p>
        </w:tc>
        <w:tc>
          <w:tcPr>
            <w:tcW w:type="dxa" w:w="2160"/>
          </w:tcPr>
          <w:p>
            <w:r>
              <w:t>88.0%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