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Low muscle mass (low ASMI, AWGS cut) (odds ratio 1.24 (95% CI 0.84 to 1.82), false discovery rate q 0.333)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0.84 to 1.82)</w:t>
            </w:r>
          </w:p>
        </w:tc>
        <w:tc>
          <w:tcPr>
            <w:tcW w:type="dxa" w:w="1234"/>
          </w:tcPr>
          <w:p>
            <w:r>
              <w:t>0.287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