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Low muscle mass (low ASMI, AWGS cut) (odds ratio 1.14 (95% CI 0.83 to 1.57), false discovery rate q 0.469)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0.83 to 1.57)</w:t>
            </w:r>
          </w:p>
        </w:tc>
        <w:tc>
          <w:tcPr>
            <w:tcW w:type="dxa" w:w="1234"/>
          </w:tcPr>
          <w:p>
            <w:r>
              <w:t>0.419</w:t>
            </w:r>
          </w:p>
        </w:tc>
        <w:tc>
          <w:tcPr>
            <w:tcW w:type="dxa" w:w="1234"/>
          </w:tcPr>
          <w:p>
            <w:r>
              <w:t>0.469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  <w:tc>
          <w:tcPr>
            <w:tcW w:type="dxa" w:w="2160"/>
          </w:tcPr>
          <w:p>
            <w:r>
              <w:t>22.0%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