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Low muscle mass (low ASMI, AWGS cut) (odds ratio per 1-SD 1.07 (95% CI 0.93 to 1.23), false discovery rate q 0.395)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0.93 to 1.23)</w:t>
            </w:r>
          </w:p>
        </w:tc>
        <w:tc>
          <w:tcPr>
            <w:tcW w:type="dxa" w:w="1234"/>
          </w:tcPr>
          <w:p>
            <w:r>
              <w:t>0.345</w:t>
            </w:r>
          </w:p>
        </w:tc>
        <w:tc>
          <w:tcPr>
            <w:tcW w:type="dxa" w:w="1234"/>
          </w:tcPr>
          <w:p>
            <w:r>
              <w:t>0.395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118.4</w:t>
            </w:r>
          </w:p>
        </w:tc>
        <w:tc>
          <w:tcPr>
            <w:tcW w:type="dxa" w:w="2160"/>
          </w:tcPr>
          <w:p>
            <w:r>
              <w:t>118.9</w:t>
            </w:r>
          </w:p>
        </w:tc>
        <w:tc>
          <w:tcPr>
            <w:tcW w:type="dxa" w:w="2160"/>
          </w:tcPr>
          <w:p>
            <w:r>
              <w:t>114.8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