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Low muscle mass (low ASMI, AWGS cut) (odds ratio per 1-SD 1.18 (95% CI 1.03 to 1.35), false discovery rate q 0.022)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1.03 to 1.35)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187.0</w:t>
            </w:r>
          </w:p>
        </w:tc>
        <w:tc>
          <w:tcPr>
            <w:tcW w:type="dxa" w:w="2160"/>
          </w:tcPr>
          <w:p>
            <w:r>
              <w:t>188.0</w:t>
            </w:r>
          </w:p>
        </w:tc>
        <w:tc>
          <w:tcPr>
            <w:tcW w:type="dxa" w:w="2160"/>
          </w:tcPr>
          <w:p>
            <w:r>
              <w:t>180.4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