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Low muscle mass (low ASMI, AWGS cut) (odds ratio per 1-SD 1.28 (95% CI 1.14 to 1.43),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1.14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138.4</w:t>
            </w:r>
          </w:p>
        </w:tc>
        <w:tc>
          <w:tcPr>
            <w:tcW w:type="dxa" w:w="2160"/>
          </w:tcPr>
          <w:p>
            <w:r>
              <w:t>118.0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