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Vitamin D deficiency (&lt;20 ng/mL) was positively associated with Low muscle mass (low ASMI, AWGS cut) (odds ratio 1.42 (95% CI 1.10 to 1.84), false discovery rate q 0.011)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1.42 (95% CI 1.10 to 1.84)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Vitamin D deficiency (&lt;20 ng/mL) (exposure)</w:t>
            </w:r>
          </w:p>
        </w:tc>
        <w:tc>
          <w:tcPr>
            <w:tcW w:type="dxa" w:w="2160"/>
          </w:tcPr>
          <w:p>
            <w:r>
              <w:t>67.5%</w:t>
            </w:r>
          </w:p>
        </w:tc>
        <w:tc>
          <w:tcPr>
            <w:tcW w:type="dxa" w:w="2160"/>
          </w:tcPr>
          <w:p>
            <w:r>
              <w:t>66.9%</w:t>
            </w:r>
          </w:p>
        </w:tc>
        <w:tc>
          <w:tcPr>
            <w:tcW w:type="dxa" w:w="2160"/>
          </w:tcPr>
          <w:p>
            <w:r>
              <w:t>72.3%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