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Lumbar spine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Chronic kidney disease (KDIGO: eGFR&lt;60 or ACR&gt;=30) was inversely associated with Lumbar spine BMD, g/cm2 (beta coefficient -0.00 (95% CI -0.04 to 0.04), false discovery rate q 0.929) among 6469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-0.04 to 0.04)</w:t>
            </w:r>
          </w:p>
        </w:tc>
        <w:tc>
          <w:tcPr>
            <w:tcW w:type="dxa" w:w="1234"/>
          </w:tcPr>
          <w:p>
            <w:r>
              <w:t>0.919</w:t>
            </w:r>
          </w:p>
        </w:tc>
        <w:tc>
          <w:tcPr>
            <w:tcW w:type="dxa" w:w="1234"/>
          </w:tcPr>
          <w:p>
            <w:r>
              <w:t>0.929</w:t>
            </w:r>
          </w:p>
        </w:tc>
        <w:tc>
          <w:tcPr>
            <w:tcW w:type="dxa" w:w="1234"/>
          </w:tcPr>
          <w:p>
            <w:r>
              <w:t>6469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Chronic kidney disease (KDIGO: eGFR&lt;60 or ACR&gt;=30) (exposure)</w:t>
            </w:r>
          </w:p>
        </w:tc>
        <w:tc>
          <w:tcPr>
            <w:tcW w:type="dxa" w:w="4320"/>
          </w:tcPr>
          <w:p>
            <w:r>
              <w:t>6.4%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