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Lumbar spine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Diastolic blood pressure, mmHg was inversely associated with Lumbar spine BMD, g/cm2 (beta coefficient per 1-SD -0.00 (95% CI -0.01 to 0.00), false discovery rate q 0.126) among 6469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-0.00 (95% CI -0.01 to 0.00)</w:t>
            </w:r>
          </w:p>
        </w:tc>
        <w:tc>
          <w:tcPr>
            <w:tcW w:type="dxa" w:w="1234"/>
          </w:tcPr>
          <w:p>
            <w:r>
              <w:t>0.101</w:t>
            </w:r>
          </w:p>
        </w:tc>
        <w:tc>
          <w:tcPr>
            <w:tcW w:type="dxa" w:w="1234"/>
          </w:tcPr>
          <w:p>
            <w:r>
              <w:t>0.126</w:t>
            </w:r>
          </w:p>
        </w:tc>
        <w:tc>
          <w:tcPr>
            <w:tcW w:type="dxa" w:w="1234"/>
          </w:tcPr>
          <w:p>
            <w:r>
              <w:t>6469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Diastolic blood pressure, mmHg (exposure)</w:t>
            </w:r>
          </w:p>
        </w:tc>
        <w:tc>
          <w:tcPr>
            <w:tcW w:type="dxa" w:w="4320"/>
          </w:tcPr>
          <w:p>
            <w:r>
              <w:t>77.1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