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inversely associated with Lumbar spine BMD, g/cm2 (beta coefficient -0.01 (95% CI -0.03 to 0.01), false discovery rate q 0.198)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0.01)</w:t>
            </w:r>
          </w:p>
        </w:tc>
        <w:tc>
          <w:tcPr>
            <w:tcW w:type="dxa" w:w="1234"/>
          </w:tcPr>
          <w:p>
            <w:r>
              <w:t>0.164</w:t>
            </w:r>
          </w:p>
        </w:tc>
        <w:tc>
          <w:tcPr>
            <w:tcW w:type="dxa" w:w="1234"/>
          </w:tcPr>
          <w:p>
            <w:r>
              <w:t>0.198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