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inversely associated with Lumbar spine BMD, g/cm2 (beta coefficient -0.01 (95% CI -0.02 to 0.00), false discovery rate q 0.072)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0.00)</w:t>
            </w:r>
          </w:p>
        </w:tc>
        <w:tc>
          <w:tcPr>
            <w:tcW w:type="dxa" w:w="1234"/>
          </w:tcPr>
          <w:p>
            <w:r>
              <w:t>0.055</w:t>
            </w:r>
          </w:p>
        </w:tc>
        <w:tc>
          <w:tcPr>
            <w:tcW w:type="dxa" w:w="1234"/>
          </w:tcPr>
          <w:p>
            <w:r>
              <w:t>0.072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33.9%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