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Lumbar spine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Lumbar spine BMD, g/cm2 (beta coefficient 0.00 (95% CI -0.03 to 0.04), false discovery rate q 0.895) among 6469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-0.03 to 0.04)</w:t>
            </w:r>
          </w:p>
        </w:tc>
        <w:tc>
          <w:tcPr>
            <w:tcW w:type="dxa" w:w="1234"/>
          </w:tcPr>
          <w:p>
            <w:r>
              <w:t>0.876</w:t>
            </w:r>
          </w:p>
        </w:tc>
        <w:tc>
          <w:tcPr>
            <w:tcW w:type="dxa" w:w="1234"/>
          </w:tcPr>
          <w:p>
            <w:r>
              <w:t>0.895</w:t>
            </w:r>
          </w:p>
        </w:tc>
        <w:tc>
          <w:tcPr>
            <w:tcW w:type="dxa" w:w="1234"/>
          </w:tcPr>
          <w:p>
            <w:r>
              <w:t>6469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