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inversely associated with Lumbar spine BMD, g/cm2 (beta coefficient per 1-SD -0.00 (95% CI -0.01 to 0.00), false discovery rate q 0.470) among 6469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-0.01 to 0.00)</w:t>
            </w:r>
          </w:p>
        </w:tc>
        <w:tc>
          <w:tcPr>
            <w:tcW w:type="dxa" w:w="1234"/>
          </w:tcPr>
          <w:p>
            <w:r>
              <w:t>0.421</w:t>
            </w:r>
          </w:p>
        </w:tc>
        <w:tc>
          <w:tcPr>
            <w:tcW w:type="dxa" w:w="1234"/>
          </w:tcPr>
          <w:p>
            <w:r>
              <w:t>0.470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254.9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