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inversely associated with Lumbar spine BMD, g/cm2 (beta coefficient -0.00 (95% CI -0.01 to 0.01), false discovery rate q 0.863)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0.01)</w:t>
            </w:r>
          </w:p>
        </w:tc>
        <w:tc>
          <w:tcPr>
            <w:tcW w:type="dxa" w:w="1234"/>
          </w:tcPr>
          <w:p>
            <w:r>
              <w:t>0.838</w:t>
            </w:r>
          </w:p>
        </w:tc>
        <w:tc>
          <w:tcPr>
            <w:tcW w:type="dxa" w:w="1234"/>
          </w:tcPr>
          <w:p>
            <w:r>
              <w:t>0.863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21.1%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