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MASLD (odds ratio per 1-SD 1.03 (95% CI 1.00 to 1.06), false discovery rate q 0.073) among 34840 adults aged 20 years or older (a weighted MASLD prevalence of 21.6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1.00 to 1.06)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