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MASLD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inversely associated with MASLD (odds ratio per 1-SD 0.25 (95% CI 0.21 to 0.29), false discovery rate q &lt;0.001) among 34840 adults aged 20 years or older (a weighted MASLD prevalence of 21.6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0.25 (95% CI 0.21 to 0.29)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30.9</w:t>
            </w:r>
          </w:p>
        </w:tc>
        <w:tc>
          <w:tcPr>
            <w:tcW w:type="dxa" w:w="2160"/>
          </w:tcPr>
          <w:p>
            <w:r>
              <w:t>31.2</w:t>
            </w:r>
          </w:p>
        </w:tc>
        <w:tc>
          <w:tcPr>
            <w:tcW w:type="dxa" w:w="2160"/>
          </w:tcPr>
          <w:p>
            <w:r>
              <w:t>29.6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55.0%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91.2%</w:t>
            </w:r>
          </w:p>
        </w:tc>
        <w:tc>
          <w:tcPr>
            <w:tcW w:type="dxa" w:w="2160"/>
          </w:tcPr>
          <w:p>
            <w:r>
              <w:t>88.8%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